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7f25e3ca649e82e3af4cd93896e1fecd5ad8"/>
    <w:p>
      <w:pPr>
        <w:pStyle w:val="Heading3"/>
      </w:pPr>
      <w:r>
        <w:t xml:space="preserve">Памятка для служащих "Конфликт интересов на государственной и муниципальной службе"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http://mosgortelecom.mos.ru/anti-corruption/methodical-materials/detail/7835691.html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«Мосгортелеком»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telecom.mos.ru" TargetMode="External" /><Relationship Type="http://schemas.openxmlformats.org/officeDocument/2006/relationships/hyperlink" Id="rId20" Target="http://mosgortelecom.mos.ru/anti-corruption/methodical-materials/detail/7835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telecom.mos.ru" TargetMode="External" /><Relationship Type="http://schemas.openxmlformats.org/officeDocument/2006/relationships/hyperlink" Id="rId20" Target="http://mosgortelecom.mos.ru/anti-corruption/methodical-materials/detail/7835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2024-05-12T15:41:38Z</dcterms:created>
  <dcterms:modified xsi:type="dcterms:W3CDTF">2024-05-12T15:41:38Z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