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899625780c3e8b7e09c3dc05e48b8c8b5e0308"/>
    <w:p>
      <w:pPr>
        <w:pStyle w:val="Heading3"/>
      </w:pPr>
      <w:r>
        <w:t xml:space="preserve">Организационно-финансовый план реализации государственной программы города Москвы «Информационный город (2012-2016 годы)» (план работ по информатизации города Москвы) на 2012 год</w:t>
      </w:r>
    </w:p>
    <w:p>
      <w:pPr>
        <w:pStyle w:val="FirstParagraph"/>
      </w:pPr>
      <w:r>
        <w:t xml:space="preserve">13.07.2012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http://mosgortelecom.mos.ru/legislation/kontseptsii_i_programmy/detail/655762.html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«Мосгортелеком»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gortelecom.mos.ru" TargetMode="External" /><Relationship Type="http://schemas.openxmlformats.org/officeDocument/2006/relationships/hyperlink" Id="rId20" Target="http://mosgortelecom.mos.ru/legislation/kontseptsii_i_programmy/detail/6557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gortelecom.mos.ru" TargetMode="External" /><Relationship Type="http://schemas.openxmlformats.org/officeDocument/2006/relationships/hyperlink" Id="rId20" Target="http://mosgortelecom.mos.ru/legislation/kontseptsii_i_programmy/detail/6557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2025-04-07T21:55:37Z</dcterms:created>
  <dcterms:modified xsi:type="dcterms:W3CDTF">2025-04-07T21:55:37Z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